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FB3F9" w14:textId="77777777" w:rsidR="00954AF3" w:rsidRDefault="00954AF3" w:rsidP="00954AF3">
      <w:pPr>
        <w:pStyle w:val="Subtitle"/>
      </w:pPr>
      <w:r>
        <w:t>MATH 135, FINITE MATH</w:t>
      </w:r>
    </w:p>
    <w:p w14:paraId="7D2842AD" w14:textId="77777777" w:rsidR="00954AF3" w:rsidRDefault="00954AF3" w:rsidP="00954AF3">
      <w:pPr>
        <w:ind w:left="720" w:hanging="720"/>
        <w:jc w:val="center"/>
      </w:pPr>
    </w:p>
    <w:p w14:paraId="0C92E448" w14:textId="77777777" w:rsidR="00954AF3" w:rsidRDefault="00954AF3" w:rsidP="00954AF3">
      <w:pPr>
        <w:ind w:left="720" w:hanging="720"/>
      </w:pPr>
      <w:r>
        <w:t>COURSE TITLE:  Finite Math</w:t>
      </w:r>
    </w:p>
    <w:p w14:paraId="7A4C5454" w14:textId="77777777" w:rsidR="00954AF3" w:rsidRDefault="00954AF3" w:rsidP="00954AF3">
      <w:pPr>
        <w:ind w:left="720" w:hanging="720"/>
      </w:pPr>
      <w:r>
        <w:t>COURSE NUMBER:  MATH 135</w:t>
      </w:r>
    </w:p>
    <w:p w14:paraId="5D4C00DE" w14:textId="77777777" w:rsidR="00954AF3" w:rsidRDefault="00954AF3" w:rsidP="00954AF3">
      <w:r>
        <w:t>CREDIT HOURS:  3</w:t>
      </w:r>
    </w:p>
    <w:p w14:paraId="47CA2348" w14:textId="77777777" w:rsidR="00954AF3" w:rsidRDefault="00954AF3" w:rsidP="00954AF3">
      <w:pPr>
        <w:ind w:left="720" w:hanging="720"/>
      </w:pPr>
      <w:r>
        <w:t xml:space="preserve">INSTRUCTOR:  Ms., Rebecca Cambron, </w:t>
      </w:r>
      <w:hyperlink r:id="rId7" w:history="1">
        <w:r w:rsidRPr="00211B0E">
          <w:rPr>
            <w:rStyle w:val="Hyperlink"/>
          </w:rPr>
          <w:t>rcambron@nafcs.k12.in.us</w:t>
        </w:r>
      </w:hyperlink>
      <w:r>
        <w:t xml:space="preserve"> </w:t>
      </w:r>
    </w:p>
    <w:p w14:paraId="30B86ACE" w14:textId="77777777" w:rsidR="00EC4B6C" w:rsidRPr="00FD5AC8" w:rsidRDefault="00EC4B6C" w:rsidP="00954AF3">
      <w:pPr>
        <w:ind w:left="720" w:hanging="720"/>
      </w:pPr>
      <w:r>
        <w:tab/>
      </w:r>
      <w:r>
        <w:tab/>
        <w:t xml:space="preserve">    Room A216</w:t>
      </w:r>
      <w:r>
        <w:tab/>
      </w:r>
      <w:r>
        <w:tab/>
        <w:t xml:space="preserve">Phone 812-542-8504 </w:t>
      </w:r>
      <w:proofErr w:type="spellStart"/>
      <w:r>
        <w:t>ext</w:t>
      </w:r>
      <w:proofErr w:type="spellEnd"/>
      <w:r>
        <w:t xml:space="preserve"> 3033</w:t>
      </w:r>
    </w:p>
    <w:p w14:paraId="2DE63F06" w14:textId="77777777" w:rsidR="00954AF3" w:rsidRDefault="00954AF3" w:rsidP="00954AF3">
      <w:pPr>
        <w:ind w:left="720" w:hanging="720"/>
      </w:pPr>
    </w:p>
    <w:p w14:paraId="750C8904" w14:textId="77777777" w:rsidR="00954AF3" w:rsidRDefault="00954AF3" w:rsidP="00954AF3">
      <w:r>
        <w:t>CATALOG DESCRIPTION:  Surveys solving and graphing linear equations and inequalities, elementary set theory, matrices and their applications, linear programming, and elementary probability. A standard finite mathematics course.</w:t>
      </w:r>
    </w:p>
    <w:p w14:paraId="7CF1555C" w14:textId="77777777" w:rsidR="00954AF3" w:rsidRDefault="00954AF3" w:rsidP="00954AF3">
      <w:pPr>
        <w:ind w:left="720" w:hanging="720"/>
      </w:pPr>
    </w:p>
    <w:p w14:paraId="5164B4D0" w14:textId="77777777" w:rsidR="00954AF3" w:rsidRDefault="00954AF3" w:rsidP="00EC4B6C">
      <w:r>
        <w:t>MAJOR COURSE LEARNING OBJECTIVES:  Upon successful completion of this course the student will be expected to:</w:t>
      </w:r>
    </w:p>
    <w:p w14:paraId="1F797C49" w14:textId="77777777" w:rsidR="00954AF3" w:rsidRDefault="00E755EC" w:rsidP="00954AF3">
      <w:pPr>
        <w:pStyle w:val="ListParagraph"/>
        <w:numPr>
          <w:ilvl w:val="0"/>
          <w:numId w:val="2"/>
        </w:numPr>
      </w:pPr>
      <w:r>
        <w:t>Probability and Sets</w:t>
      </w:r>
    </w:p>
    <w:p w14:paraId="12A1C581" w14:textId="77777777" w:rsidR="00954AF3" w:rsidRDefault="00954AF3" w:rsidP="00954AF3">
      <w:pPr>
        <w:pStyle w:val="ListParagraph"/>
        <w:numPr>
          <w:ilvl w:val="0"/>
          <w:numId w:val="2"/>
        </w:numPr>
      </w:pPr>
      <w:r>
        <w:t>Solve systems of linear equations using graphing, the substitution method and the elimination method.</w:t>
      </w:r>
    </w:p>
    <w:p w14:paraId="63229631" w14:textId="77777777" w:rsidR="00954AF3" w:rsidRDefault="00954AF3" w:rsidP="00954AF3">
      <w:pPr>
        <w:pStyle w:val="ListParagraph"/>
        <w:numPr>
          <w:ilvl w:val="0"/>
          <w:numId w:val="2"/>
        </w:numPr>
      </w:pPr>
      <w:r>
        <w:t>Perform addition, subtraction and multiplication on matrices.</w:t>
      </w:r>
    </w:p>
    <w:p w14:paraId="40E8B5B6" w14:textId="77777777" w:rsidR="00954AF3" w:rsidRDefault="00954AF3" w:rsidP="00954AF3">
      <w:pPr>
        <w:pStyle w:val="ListParagraph"/>
        <w:numPr>
          <w:ilvl w:val="0"/>
          <w:numId w:val="2"/>
        </w:numPr>
      </w:pPr>
      <w:bookmarkStart w:id="0" w:name="_GoBack"/>
      <w:bookmarkEnd w:id="0"/>
      <w:r>
        <w:t>Solve systems of linear equations using various matrix methods.</w:t>
      </w:r>
    </w:p>
    <w:p w14:paraId="3A8FCDC6" w14:textId="77777777" w:rsidR="00954AF3" w:rsidRDefault="00954AF3" w:rsidP="00954AF3">
      <w:pPr>
        <w:pStyle w:val="ListParagraph"/>
        <w:numPr>
          <w:ilvl w:val="0"/>
          <w:numId w:val="2"/>
        </w:numPr>
      </w:pPr>
      <w:r>
        <w:t xml:space="preserve">Solve linear programming problems using graphical techniques </w:t>
      </w:r>
      <w:r w:rsidRPr="00FD5AC8">
        <w:t>or</w:t>
      </w:r>
      <w:r>
        <w:t xml:space="preserve"> the simplex method.</w:t>
      </w:r>
    </w:p>
    <w:p w14:paraId="39D609C9" w14:textId="77777777" w:rsidR="00954AF3" w:rsidRDefault="00954AF3" w:rsidP="00954AF3">
      <w:pPr>
        <w:pStyle w:val="ListParagraph"/>
        <w:numPr>
          <w:ilvl w:val="0"/>
          <w:numId w:val="2"/>
        </w:numPr>
      </w:pPr>
      <w:r>
        <w:t>Perform the set operations of union, intersection, and complementation.</w:t>
      </w:r>
    </w:p>
    <w:p w14:paraId="63422A3A" w14:textId="77777777" w:rsidR="00954AF3" w:rsidRDefault="00954AF3" w:rsidP="00954AF3">
      <w:pPr>
        <w:pStyle w:val="ListParagraph"/>
        <w:numPr>
          <w:ilvl w:val="0"/>
          <w:numId w:val="2"/>
        </w:numPr>
      </w:pPr>
      <w:r>
        <w:t>Use Venn diagrams to illustrate properties of sets.</w:t>
      </w:r>
    </w:p>
    <w:p w14:paraId="7C5AD479" w14:textId="77777777" w:rsidR="00954AF3" w:rsidRDefault="00954AF3" w:rsidP="00954AF3">
      <w:pPr>
        <w:pStyle w:val="ListParagraph"/>
        <w:numPr>
          <w:ilvl w:val="0"/>
          <w:numId w:val="2"/>
        </w:numPr>
      </w:pPr>
      <w:r>
        <w:t>Use permutations, combinations, and other counting techniques.</w:t>
      </w:r>
    </w:p>
    <w:p w14:paraId="43962B41" w14:textId="77777777" w:rsidR="00954AF3" w:rsidRDefault="00954AF3" w:rsidP="00954AF3">
      <w:pPr>
        <w:pStyle w:val="ListParagraph"/>
        <w:numPr>
          <w:ilvl w:val="0"/>
          <w:numId w:val="2"/>
        </w:numPr>
      </w:pPr>
      <w:r>
        <w:t>Compute probabilities.</w:t>
      </w:r>
    </w:p>
    <w:p w14:paraId="73063BD8" w14:textId="77777777" w:rsidR="00954AF3" w:rsidRDefault="00954AF3" w:rsidP="00954AF3">
      <w:pPr>
        <w:pStyle w:val="ListParagraph"/>
        <w:numPr>
          <w:ilvl w:val="0"/>
          <w:numId w:val="2"/>
        </w:numPr>
      </w:pPr>
      <w:r>
        <w:t>Use tree diagrams to compute probabilities.</w:t>
      </w:r>
    </w:p>
    <w:p w14:paraId="5132C880" w14:textId="77777777" w:rsidR="00954AF3" w:rsidRDefault="00954AF3" w:rsidP="00954AF3">
      <w:pPr>
        <w:pStyle w:val="ListParagraph"/>
        <w:numPr>
          <w:ilvl w:val="0"/>
          <w:numId w:val="2"/>
        </w:numPr>
      </w:pPr>
      <w:r>
        <w:t>Use Markov chains to calculate probabilities.</w:t>
      </w:r>
    </w:p>
    <w:p w14:paraId="2442BA3B" w14:textId="77777777" w:rsidR="00954AF3" w:rsidRPr="00954AF3" w:rsidRDefault="00954AF3" w:rsidP="00954AF3">
      <w:pPr>
        <w:pStyle w:val="ListParagraph"/>
        <w:numPr>
          <w:ilvl w:val="0"/>
          <w:numId w:val="2"/>
        </w:numPr>
        <w:rPr>
          <w:rFonts w:ascii="Times New Roman" w:hAnsi="Times New Roman"/>
          <w:szCs w:val="24"/>
        </w:rPr>
      </w:pPr>
      <w:r w:rsidRPr="00954AF3">
        <w:rPr>
          <w:rFonts w:ascii="Times New Roman" w:hAnsi="Times New Roman"/>
          <w:szCs w:val="24"/>
        </w:rPr>
        <w:t>Use and understand variance, standard deviation, the normal distribution, and expected</w:t>
      </w:r>
      <w:r>
        <w:rPr>
          <w:rFonts w:ascii="Times New Roman" w:hAnsi="Times New Roman"/>
          <w:szCs w:val="24"/>
        </w:rPr>
        <w:t xml:space="preserve"> </w:t>
      </w:r>
      <w:r w:rsidRPr="00954AF3">
        <w:rPr>
          <w:rFonts w:ascii="Times New Roman" w:hAnsi="Times New Roman"/>
          <w:szCs w:val="24"/>
        </w:rPr>
        <w:t>value.</w:t>
      </w:r>
    </w:p>
    <w:p w14:paraId="2EEF3A35" w14:textId="77777777" w:rsidR="00954AF3" w:rsidRDefault="00954AF3" w:rsidP="00954AF3">
      <w:pPr>
        <w:pStyle w:val="ListParagraph"/>
        <w:numPr>
          <w:ilvl w:val="0"/>
          <w:numId w:val="2"/>
        </w:numPr>
      </w:pPr>
      <w:r>
        <w:t>Solve a variety of application problems in the above areas.</w:t>
      </w:r>
    </w:p>
    <w:p w14:paraId="2A98D5C0" w14:textId="77777777" w:rsidR="00954AF3" w:rsidRDefault="00954AF3" w:rsidP="00954AF3">
      <w:pPr>
        <w:pStyle w:val="ListParagraph"/>
        <w:numPr>
          <w:ilvl w:val="0"/>
          <w:numId w:val="2"/>
        </w:numPr>
      </w:pPr>
      <w:r>
        <w:t>Use a scientific and/or graphing calculator proficiently as related to coursework.</w:t>
      </w:r>
    </w:p>
    <w:p w14:paraId="444D0011" w14:textId="77777777" w:rsidR="00954AF3" w:rsidRPr="00954AF3" w:rsidRDefault="00954AF3" w:rsidP="00954AF3">
      <w:pPr>
        <w:pStyle w:val="ListParagraph"/>
        <w:numPr>
          <w:ilvl w:val="0"/>
          <w:numId w:val="2"/>
        </w:numPr>
        <w:rPr>
          <w:bCs/>
        </w:rPr>
      </w:pPr>
      <w:r w:rsidRPr="00954AF3">
        <w:rPr>
          <w:bCs/>
        </w:rPr>
        <w:t>Use computer technology which may include the Internet, the Web, email, or computer tutorials to enhance the course objectives.</w:t>
      </w:r>
    </w:p>
    <w:p w14:paraId="5908536E" w14:textId="77777777" w:rsidR="00954AF3" w:rsidRDefault="00954AF3" w:rsidP="00954AF3">
      <w:pPr>
        <w:ind w:left="720" w:hanging="720"/>
      </w:pPr>
    </w:p>
    <w:p w14:paraId="2F759933" w14:textId="77777777" w:rsidR="00954AF3" w:rsidRDefault="00954AF3" w:rsidP="00954AF3">
      <w:pPr>
        <w:ind w:left="720" w:hanging="720"/>
      </w:pPr>
      <w:r>
        <w:t>COURSE CONTENT:  Topical areas of study include --</w:t>
      </w:r>
    </w:p>
    <w:p w14:paraId="4D830521" w14:textId="77777777" w:rsidR="00954AF3" w:rsidRDefault="00954AF3" w:rsidP="00954AF3">
      <w:pPr>
        <w:ind w:left="720" w:hanging="720"/>
      </w:pPr>
      <w:r>
        <w:t>Linear models</w:t>
      </w:r>
      <w:r>
        <w:tab/>
      </w:r>
      <w:r>
        <w:tab/>
      </w:r>
      <w:r>
        <w:tab/>
      </w:r>
      <w:r>
        <w:tab/>
      </w:r>
      <w:r>
        <w:tab/>
      </w:r>
      <w:r>
        <w:tab/>
      </w:r>
    </w:p>
    <w:p w14:paraId="3668A765" w14:textId="77777777" w:rsidR="00954AF3" w:rsidRDefault="00954AF3" w:rsidP="00954AF3">
      <w:pPr>
        <w:ind w:left="720" w:hanging="720"/>
      </w:pPr>
      <w:r>
        <w:t>Systems of linear equations</w:t>
      </w:r>
    </w:p>
    <w:p w14:paraId="67EA9073" w14:textId="77777777" w:rsidR="00954AF3" w:rsidRDefault="00954AF3" w:rsidP="00954AF3">
      <w:pPr>
        <w:ind w:left="720" w:hanging="720"/>
      </w:pPr>
      <w:r>
        <w:t xml:space="preserve">Linear programming:  graphical </w:t>
      </w:r>
      <w:r w:rsidRPr="00FD5AC8">
        <w:t>or</w:t>
      </w:r>
      <w:r>
        <w:t xml:space="preserve"> simplex methods</w:t>
      </w:r>
      <w:r>
        <w:tab/>
      </w:r>
      <w:r>
        <w:tab/>
      </w:r>
    </w:p>
    <w:p w14:paraId="2CB485E9" w14:textId="77777777" w:rsidR="00954AF3" w:rsidRDefault="00954AF3" w:rsidP="00954AF3">
      <w:pPr>
        <w:ind w:left="720" w:hanging="720"/>
      </w:pPr>
      <w:r>
        <w:t>Sets and Venn diagrams</w:t>
      </w:r>
    </w:p>
    <w:p w14:paraId="24821855" w14:textId="77777777" w:rsidR="00954AF3" w:rsidRDefault="00954AF3" w:rsidP="00954AF3">
      <w:pPr>
        <w:ind w:left="720" w:hanging="720"/>
      </w:pPr>
      <w:r>
        <w:t>Permutations and combinations</w:t>
      </w:r>
    </w:p>
    <w:p w14:paraId="2DEC42CE" w14:textId="77777777" w:rsidR="00954AF3" w:rsidRDefault="00954AF3" w:rsidP="00954AF3">
      <w:pPr>
        <w:ind w:left="720" w:hanging="720"/>
      </w:pPr>
      <w:r>
        <w:t>Probability</w:t>
      </w:r>
      <w:r>
        <w:tab/>
      </w:r>
      <w:r>
        <w:tab/>
      </w:r>
      <w:r>
        <w:tab/>
      </w:r>
      <w:r>
        <w:tab/>
      </w:r>
      <w:r>
        <w:tab/>
      </w:r>
      <w:r>
        <w:tab/>
      </w:r>
    </w:p>
    <w:p w14:paraId="5BCBAF14" w14:textId="77777777" w:rsidR="00954AF3" w:rsidRDefault="00954AF3" w:rsidP="00954AF3">
      <w:pPr>
        <w:ind w:left="720" w:hanging="720"/>
      </w:pPr>
      <w:r>
        <w:t>Expected value</w:t>
      </w:r>
    </w:p>
    <w:p w14:paraId="30086EBA" w14:textId="77777777" w:rsidR="00954AF3" w:rsidRDefault="00954AF3" w:rsidP="00954AF3">
      <w:pPr>
        <w:ind w:left="720" w:hanging="720"/>
      </w:pPr>
      <w:r>
        <w:t>Variance and standard deviation</w:t>
      </w:r>
      <w:r>
        <w:tab/>
      </w:r>
      <w:r>
        <w:tab/>
      </w:r>
      <w:r>
        <w:tab/>
      </w:r>
    </w:p>
    <w:p w14:paraId="4E8CB4F4" w14:textId="77777777" w:rsidR="00954AF3" w:rsidRDefault="00954AF3" w:rsidP="00954AF3">
      <w:pPr>
        <w:ind w:left="720" w:hanging="720"/>
      </w:pPr>
      <w:r>
        <w:t>Markov chains</w:t>
      </w:r>
    </w:p>
    <w:p w14:paraId="0706D740" w14:textId="77777777" w:rsidR="00E755EC" w:rsidRDefault="00954AF3" w:rsidP="00E755EC">
      <w:pPr>
        <w:ind w:left="720" w:hanging="720"/>
      </w:pPr>
      <w:r w:rsidRPr="00FD5AC8">
        <w:t>Matrices</w:t>
      </w:r>
    </w:p>
    <w:p w14:paraId="2C7C673A" w14:textId="77777777" w:rsidR="00954AF3" w:rsidRDefault="00954AF3" w:rsidP="00E755EC">
      <w:pPr>
        <w:ind w:left="720" w:hanging="720"/>
      </w:pPr>
      <w:r w:rsidRPr="00EC4B6C">
        <w:lastRenderedPageBreak/>
        <w:t xml:space="preserve">TEXTS/CURRICULUM </w:t>
      </w:r>
      <w:r w:rsidR="00EC4B6C" w:rsidRPr="00EC4B6C">
        <w:t xml:space="preserve">MATERIALS:  </w:t>
      </w:r>
      <w:r w:rsidR="00EC4B6C" w:rsidRPr="00EC4B6C">
        <w:rPr>
          <w:u w:val="single"/>
        </w:rPr>
        <w:t>Finite Mathematics</w:t>
      </w:r>
    </w:p>
    <w:p w14:paraId="3B90DFA8" w14:textId="77777777" w:rsidR="00EC4B6C" w:rsidRDefault="00EC4B6C" w:rsidP="00EC4B6C">
      <w:pPr>
        <w:ind w:left="3600"/>
      </w:pPr>
      <w:r>
        <w:rPr>
          <w:sz w:val="22"/>
          <w:szCs w:val="22"/>
        </w:rPr>
        <w:t xml:space="preserve">        Textbook website:  </w:t>
      </w:r>
      <w:hyperlink r:id="rId8" w:history="1">
        <w:r w:rsidRPr="009D211D">
          <w:rPr>
            <w:rStyle w:val="Hyperlink"/>
            <w:sz w:val="22"/>
            <w:szCs w:val="22"/>
          </w:rPr>
          <w:t>www.aw.com/lgr</w:t>
        </w:r>
      </w:hyperlink>
    </w:p>
    <w:p w14:paraId="3FE103BA" w14:textId="77777777" w:rsidR="00954AF3" w:rsidRDefault="00954AF3" w:rsidP="00954AF3">
      <w:pPr>
        <w:ind w:left="720" w:hanging="360"/>
      </w:pPr>
    </w:p>
    <w:p w14:paraId="3658CC4A" w14:textId="77777777" w:rsidR="00954AF3" w:rsidRPr="00EC4B6C" w:rsidRDefault="00954AF3" w:rsidP="00954AF3">
      <w:pPr>
        <w:ind w:left="720" w:hanging="720"/>
        <w:rPr>
          <w:rFonts w:ascii="Times New Roman" w:hAnsi="Times New Roman"/>
          <w:b/>
          <w:i/>
          <w:iCs/>
        </w:rPr>
      </w:pPr>
      <w:r w:rsidRPr="00EC4B6C">
        <w:rPr>
          <w:rFonts w:ascii="Times New Roman" w:hAnsi="Times New Roman"/>
          <w:b/>
        </w:rPr>
        <w:t xml:space="preserve">ACADEMIC HONESTY STATEMENT:  </w:t>
      </w:r>
    </w:p>
    <w:p w14:paraId="07A204EF" w14:textId="77777777" w:rsidR="00954AF3" w:rsidRPr="00D4545C" w:rsidRDefault="00EC4B6C" w:rsidP="00954AF3">
      <w:pPr>
        <w:pStyle w:val="BodyText2"/>
      </w:pPr>
      <w:r>
        <w:t>Floyd Central</w:t>
      </w:r>
      <w:r w:rsidR="00954AF3">
        <w:t xml:space="preserve"> High School</w:t>
      </w:r>
      <w:r w:rsidR="00954AF3" w:rsidRPr="00D4545C">
        <w:t xml:space="preserve"> is committed to academic integrity in all its practices.  The faculty value intellectual integrity and a high standard of academic conduct.  Activities that violate academic integrity undermine the quality and diminish the value of educational achievement.</w:t>
      </w:r>
    </w:p>
    <w:p w14:paraId="6DA3F454" w14:textId="77777777" w:rsidR="00954AF3" w:rsidRPr="00EC4B6C" w:rsidRDefault="00954AF3" w:rsidP="00EC4B6C">
      <w:pPr>
        <w:rPr>
          <w:rFonts w:ascii="Times New Roman" w:hAnsi="Times New Roman"/>
        </w:rPr>
      </w:pPr>
      <w:r w:rsidRPr="00D4545C">
        <w:rPr>
          <w:rFonts w:ascii="Times New Roman" w:hAnsi="Times New Roman"/>
        </w:rPr>
        <w:t xml:space="preserve">Cheating on papers, tests or other academic works is a violation of </w:t>
      </w:r>
      <w:r w:rsidR="00EC4B6C">
        <w:rPr>
          <w:rFonts w:ascii="Times New Roman" w:hAnsi="Times New Roman"/>
        </w:rPr>
        <w:t>Floyd Central</w:t>
      </w:r>
      <w:r>
        <w:rPr>
          <w:rFonts w:ascii="Times New Roman" w:hAnsi="Times New Roman"/>
        </w:rPr>
        <w:t xml:space="preserve"> High School</w:t>
      </w:r>
      <w:r w:rsidRPr="00D4545C">
        <w:rPr>
          <w:rFonts w:ascii="Times New Roman" w:hAnsi="Times New Roman"/>
        </w:rPr>
        <w:t xml:space="preserve"> </w:t>
      </w:r>
    </w:p>
    <w:p w14:paraId="45E11A80" w14:textId="77777777" w:rsidR="00954AF3" w:rsidRPr="00D4545C" w:rsidRDefault="00954AF3" w:rsidP="00954AF3">
      <w:pPr>
        <w:rPr>
          <w:rFonts w:ascii="Times New Roman" w:hAnsi="Times New Roman"/>
        </w:rPr>
      </w:pPr>
      <w:r w:rsidRPr="00D4545C">
        <w:rPr>
          <w:rFonts w:ascii="Times New Roman" w:hAnsi="Times New Roman"/>
        </w:rPr>
        <w:t>rules.  No student shall engage in behavior that, in the judgment of the instructor of the class, may be construed as cheating.  This may include, but is not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w:t>
      </w:r>
    </w:p>
    <w:p w14:paraId="67C26E33" w14:textId="77777777" w:rsidR="00954AF3" w:rsidRPr="001632CB" w:rsidRDefault="00954AF3" w:rsidP="00954AF3">
      <w:pPr>
        <w:ind w:left="720" w:hanging="720"/>
        <w:rPr>
          <w:rFonts w:ascii="Times New Roman" w:hAnsi="Times New Roman"/>
          <w:sz w:val="12"/>
        </w:rPr>
      </w:pPr>
      <w:bookmarkStart w:id="1" w:name="OLE_LINK2"/>
      <w:bookmarkStart w:id="2" w:name="OLE_LINK3"/>
      <w:bookmarkStart w:id="3" w:name="OLE_LINK1"/>
    </w:p>
    <w:p w14:paraId="290A823B" w14:textId="77777777" w:rsidR="00954AF3" w:rsidRPr="00EC4B6C" w:rsidRDefault="00954AF3" w:rsidP="00954AF3">
      <w:pPr>
        <w:jc w:val="both"/>
        <w:rPr>
          <w:rFonts w:ascii="Times New Roman" w:hAnsi="Times New Roman"/>
          <w:b/>
        </w:rPr>
      </w:pPr>
      <w:r w:rsidRPr="00EC4B6C">
        <w:rPr>
          <w:rFonts w:ascii="Times New Roman" w:hAnsi="Times New Roman"/>
          <w:b/>
        </w:rPr>
        <w:t>COPYRIGHT STATEMENT:</w:t>
      </w:r>
    </w:p>
    <w:p w14:paraId="1332D3E6" w14:textId="77777777" w:rsidR="00954AF3" w:rsidRPr="00D4545C" w:rsidRDefault="00954AF3" w:rsidP="00954AF3">
      <w:pPr>
        <w:rPr>
          <w:rFonts w:ascii="Times New Roman" w:hAnsi="Times New Roman"/>
        </w:rPr>
      </w:pPr>
      <w:r w:rsidRPr="00D4545C">
        <w:rPr>
          <w:rFonts w:ascii="Times New Roman" w:hAnsi="Times New Roman"/>
        </w:rPr>
        <w:t xml:space="preserve">Students shall adhere to the laws governing the use of copyrighted materials. They must insure that their activities comply with fair use and in no </w:t>
      </w:r>
      <w:proofErr w:type="gramStart"/>
      <w:r w:rsidRPr="00D4545C">
        <w:rPr>
          <w:rFonts w:ascii="Times New Roman" w:hAnsi="Times New Roman"/>
        </w:rPr>
        <w:t>way</w:t>
      </w:r>
      <w:proofErr w:type="gramEnd"/>
      <w:r w:rsidRPr="00D4545C">
        <w:rPr>
          <w:rFonts w:ascii="Times New Roman" w:hAnsi="Times New Roman"/>
        </w:rPr>
        <w:t xml:space="preserve"> infringe on the copyright or other proprietary rights of others and that the materials used and developed at </w:t>
      </w:r>
      <w:r w:rsidR="00EC4B6C">
        <w:rPr>
          <w:rFonts w:ascii="Times New Roman" w:hAnsi="Times New Roman"/>
        </w:rPr>
        <w:t>Floyd Central</w:t>
      </w:r>
      <w:r>
        <w:rPr>
          <w:rFonts w:ascii="Times New Roman" w:hAnsi="Times New Roman"/>
        </w:rPr>
        <w:t xml:space="preserve"> High School</w:t>
      </w:r>
      <w:r w:rsidRPr="00D4545C">
        <w:rPr>
          <w:rFonts w:ascii="Times New Roman" w:hAnsi="Times New Roman"/>
        </w:rPr>
        <w:t xml:space="preserve"> contain nothing unlawful, unethical, or libelous and do not constitute any violation of any right of privacy.</w:t>
      </w:r>
      <w:bookmarkEnd w:id="1"/>
      <w:bookmarkEnd w:id="2"/>
    </w:p>
    <w:bookmarkEnd w:id="3"/>
    <w:p w14:paraId="1FF7D674" w14:textId="77777777" w:rsidR="00954AF3" w:rsidRPr="001632CB" w:rsidRDefault="00954AF3" w:rsidP="00954AF3">
      <w:pPr>
        <w:ind w:left="720" w:hanging="720"/>
        <w:rPr>
          <w:rFonts w:ascii="Times New Roman" w:hAnsi="Times New Roman"/>
          <w:sz w:val="12"/>
        </w:rPr>
      </w:pPr>
    </w:p>
    <w:p w14:paraId="01EAE6F4" w14:textId="77777777" w:rsidR="00EC4B6C" w:rsidRPr="00EC4B6C" w:rsidRDefault="00954AF3" w:rsidP="00954AF3">
      <w:pPr>
        <w:pStyle w:val="BodyText2"/>
        <w:rPr>
          <w:b/>
        </w:rPr>
      </w:pPr>
      <w:r w:rsidRPr="00EC4B6C">
        <w:rPr>
          <w:b/>
        </w:rPr>
        <w:t>ADA STATEMENT:</w:t>
      </w:r>
    </w:p>
    <w:p w14:paraId="2BAAC4B5" w14:textId="77777777" w:rsidR="00954AF3" w:rsidRDefault="00EC4B6C" w:rsidP="00EC4B6C">
      <w:r>
        <w:rPr>
          <w:rFonts w:ascii="Times New Roman" w:hAnsi="Times New Roman"/>
        </w:rPr>
        <w:t>Floyd Central</w:t>
      </w:r>
      <w:r w:rsidR="00954AF3">
        <w:rPr>
          <w:rFonts w:ascii="Times New Roman" w:hAnsi="Times New Roman"/>
        </w:rPr>
        <w:t xml:space="preserve"> High School</w:t>
      </w:r>
      <w:r w:rsidR="00954AF3" w:rsidRPr="00D4545C">
        <w:rPr>
          <w:rFonts w:ascii="Times New Roman" w:hAnsi="Times New Roman"/>
        </w:rPr>
        <w:t xml:space="preserve"> seeks to provide reasonable accommodations for qualified individuals with documented disabilities.  If you need an accommodation because of a documented disability, please contact the Office of Disability Support Services.  </w:t>
      </w:r>
      <w:r w:rsidR="00954AF3" w:rsidRPr="00D4545C">
        <w:t>If you will require assistance during an emergency evacuation, notify your instructor immediately.  Look for evacuation procedures posted in your classroom.</w:t>
      </w:r>
    </w:p>
    <w:p w14:paraId="514911B9" w14:textId="77777777" w:rsidR="00EC4B6C" w:rsidRPr="00EC4B6C" w:rsidRDefault="00EC4B6C" w:rsidP="00EC4B6C">
      <w:pPr>
        <w:rPr>
          <w:b/>
        </w:rPr>
      </w:pPr>
    </w:p>
    <w:p w14:paraId="7B39B900" w14:textId="77777777" w:rsidR="00EC4B6C" w:rsidRPr="00EC4B6C" w:rsidRDefault="00EC4B6C" w:rsidP="00EC4B6C">
      <w:pPr>
        <w:pStyle w:val="defaulttext"/>
        <w:rPr>
          <w:rFonts w:ascii="Times New Roman" w:hAnsi="Times New Roman"/>
          <w:b/>
        </w:rPr>
      </w:pPr>
      <w:r>
        <w:rPr>
          <w:rFonts w:ascii="Times New Roman" w:hAnsi="Times New Roman"/>
          <w:b/>
        </w:rPr>
        <w:t>SCHOOL IMPROVEMENT LITERACY GOALS:</w:t>
      </w:r>
    </w:p>
    <w:p w14:paraId="707B2A2F" w14:textId="77777777" w:rsidR="00EC4B6C" w:rsidRDefault="00EC4B6C" w:rsidP="00EC4B6C">
      <w:pPr>
        <w:pStyle w:val="defaulttext"/>
        <w:rPr>
          <w:rFonts w:ascii="Times New Roman" w:hAnsi="Times New Roman"/>
        </w:rPr>
      </w:pPr>
      <w:r w:rsidRPr="00EC4B6C">
        <w:rPr>
          <w:rFonts w:ascii="Times New Roman" w:hAnsi="Times New Roman"/>
        </w:rPr>
        <w:t xml:space="preserve">All students will improve their reading comprehension skills and their ability to interact with informational texts.  Reading strategies in this course will include academic vocabulary, mapping, and K-N-W-S worksheets </w:t>
      </w:r>
    </w:p>
    <w:p w14:paraId="400E5093" w14:textId="77777777" w:rsidR="00EC4B6C" w:rsidRDefault="00EC4B6C" w:rsidP="00EC4B6C">
      <w:pPr>
        <w:pStyle w:val="defaulttext"/>
        <w:rPr>
          <w:rFonts w:ascii="Times New Roman" w:hAnsi="Times New Roman"/>
        </w:rPr>
      </w:pPr>
    </w:p>
    <w:p w14:paraId="0035E8DB" w14:textId="77777777" w:rsidR="00EC4B6C" w:rsidRDefault="00EC4B6C" w:rsidP="00EC4B6C">
      <w:pPr>
        <w:rPr>
          <w:rFonts w:ascii="Times New Roman" w:hAnsi="Times New Roman"/>
          <w:b/>
          <w:szCs w:val="24"/>
        </w:rPr>
      </w:pPr>
      <w:r>
        <w:rPr>
          <w:rFonts w:ascii="Times New Roman" w:hAnsi="Times New Roman"/>
          <w:b/>
          <w:szCs w:val="24"/>
        </w:rPr>
        <w:t>ATTENDANCE:</w:t>
      </w:r>
    </w:p>
    <w:p w14:paraId="2F32B7AE" w14:textId="77777777" w:rsidR="00EC4B6C" w:rsidRPr="00EC4B6C" w:rsidRDefault="00EC4B6C" w:rsidP="00EC4B6C">
      <w:pPr>
        <w:rPr>
          <w:rFonts w:ascii="Times New Roman" w:hAnsi="Times New Roman"/>
          <w:szCs w:val="24"/>
        </w:rPr>
      </w:pPr>
      <w:r w:rsidRPr="00EC4B6C">
        <w:rPr>
          <w:rFonts w:ascii="Times New Roman" w:hAnsi="Times New Roman"/>
          <w:szCs w:val="24"/>
        </w:rPr>
        <w:t>Attendance will be taken on a daily basis from a seating chart that will be determined at the beginning of each semester.  When you are absent, you are responsible for any missed work.  You should check the assignment calendar or my website for missed assignments</w:t>
      </w:r>
      <w:r>
        <w:rPr>
          <w:rFonts w:ascii="Times New Roman" w:hAnsi="Times New Roman"/>
          <w:szCs w:val="24"/>
        </w:rPr>
        <w:t>.  Per school policy, more than</w:t>
      </w:r>
      <w:r w:rsidRPr="00EC4B6C">
        <w:rPr>
          <w:rFonts w:ascii="Times New Roman" w:hAnsi="Times New Roman"/>
          <w:szCs w:val="24"/>
        </w:rPr>
        <w:t xml:space="preserve"> 8 unexcused absences per semester will result in a failure for that semester.  (</w:t>
      </w:r>
      <w:proofErr w:type="spellStart"/>
      <w:r w:rsidRPr="00EC4B6C">
        <w:rPr>
          <w:rFonts w:ascii="Times New Roman" w:hAnsi="Times New Roman"/>
          <w:szCs w:val="24"/>
        </w:rPr>
        <w:t>Tardies</w:t>
      </w:r>
      <w:proofErr w:type="spellEnd"/>
      <w:r w:rsidRPr="00EC4B6C">
        <w:rPr>
          <w:rFonts w:ascii="Times New Roman" w:hAnsi="Times New Roman"/>
          <w:szCs w:val="24"/>
        </w:rPr>
        <w:t xml:space="preserve"> of more than 5 minutes are considered a full absence.</w:t>
      </w:r>
    </w:p>
    <w:p w14:paraId="47BD68CD" w14:textId="77777777" w:rsidR="00EC4B6C" w:rsidRPr="00EC4B6C" w:rsidRDefault="00EC4B6C" w:rsidP="00EC4B6C">
      <w:pPr>
        <w:ind w:left="720"/>
        <w:rPr>
          <w:rFonts w:ascii="Times New Roman" w:hAnsi="Times New Roman"/>
          <w:b/>
          <w:szCs w:val="24"/>
        </w:rPr>
      </w:pPr>
      <w:r w:rsidRPr="00EC4B6C">
        <w:rPr>
          <w:rFonts w:ascii="Times New Roman" w:hAnsi="Times New Roman"/>
          <w:b/>
          <w:szCs w:val="24"/>
        </w:rPr>
        <w:t>*Note:  All students are expected to stay in their assigned seats until the bell has rung.</w:t>
      </w:r>
    </w:p>
    <w:p w14:paraId="486A597D" w14:textId="77777777" w:rsidR="00EC4B6C" w:rsidRPr="00EC4B6C" w:rsidRDefault="00EC4B6C" w:rsidP="00EC4B6C">
      <w:pPr>
        <w:ind w:left="720"/>
        <w:rPr>
          <w:rFonts w:ascii="Times New Roman" w:hAnsi="Times New Roman"/>
          <w:b/>
          <w:szCs w:val="24"/>
        </w:rPr>
      </w:pPr>
    </w:p>
    <w:p w14:paraId="32F7E228" w14:textId="77777777" w:rsidR="00EC4B6C" w:rsidRDefault="00EC4B6C" w:rsidP="00EC4B6C">
      <w:pPr>
        <w:rPr>
          <w:rFonts w:ascii="Times New Roman" w:hAnsi="Times New Roman"/>
          <w:b/>
          <w:szCs w:val="24"/>
        </w:rPr>
      </w:pPr>
      <w:r>
        <w:rPr>
          <w:rFonts w:ascii="Times New Roman" w:hAnsi="Times New Roman"/>
          <w:b/>
          <w:szCs w:val="24"/>
        </w:rPr>
        <w:t>TARDIES:</w:t>
      </w:r>
    </w:p>
    <w:p w14:paraId="6AABF8E3" w14:textId="77777777" w:rsidR="00EC4B6C" w:rsidRPr="00EC4B6C" w:rsidRDefault="00EC4B6C" w:rsidP="00EC4B6C">
      <w:pPr>
        <w:rPr>
          <w:rFonts w:ascii="Times New Roman" w:hAnsi="Times New Roman"/>
          <w:szCs w:val="24"/>
        </w:rPr>
      </w:pPr>
      <w:r w:rsidRPr="00EC4B6C">
        <w:rPr>
          <w:rFonts w:ascii="Times New Roman" w:hAnsi="Times New Roman"/>
          <w:szCs w:val="24"/>
        </w:rPr>
        <w:t xml:space="preserve">Students will be assigned a tardy if they are not in the classroom when the bell rings.  I will be enforcing school policy for </w:t>
      </w:r>
      <w:proofErr w:type="spellStart"/>
      <w:r w:rsidRPr="00EC4B6C">
        <w:rPr>
          <w:rFonts w:ascii="Times New Roman" w:hAnsi="Times New Roman"/>
          <w:szCs w:val="24"/>
        </w:rPr>
        <w:t>tardies</w:t>
      </w:r>
      <w:proofErr w:type="spellEnd"/>
      <w:r w:rsidRPr="00EC4B6C">
        <w:rPr>
          <w:rFonts w:ascii="Times New Roman" w:hAnsi="Times New Roman"/>
          <w:szCs w:val="24"/>
        </w:rPr>
        <w:t>.  This includes detentions after the 3</w:t>
      </w:r>
      <w:r w:rsidRPr="00EC4B6C">
        <w:rPr>
          <w:rFonts w:ascii="Times New Roman" w:hAnsi="Times New Roman"/>
          <w:szCs w:val="24"/>
          <w:vertAlign w:val="superscript"/>
        </w:rPr>
        <w:t>rd</w:t>
      </w:r>
      <w:r w:rsidRPr="00EC4B6C">
        <w:rPr>
          <w:rFonts w:ascii="Times New Roman" w:hAnsi="Times New Roman"/>
          <w:szCs w:val="24"/>
        </w:rPr>
        <w:t xml:space="preserve"> tardy and SAL after the 4</w:t>
      </w:r>
      <w:r w:rsidRPr="00EC4B6C">
        <w:rPr>
          <w:rFonts w:ascii="Times New Roman" w:hAnsi="Times New Roman"/>
          <w:szCs w:val="24"/>
          <w:vertAlign w:val="superscript"/>
        </w:rPr>
        <w:t>th</w:t>
      </w:r>
      <w:r>
        <w:rPr>
          <w:rFonts w:ascii="Times New Roman" w:hAnsi="Times New Roman"/>
          <w:szCs w:val="24"/>
        </w:rPr>
        <w:t>.</w:t>
      </w:r>
    </w:p>
    <w:p w14:paraId="62780CEE" w14:textId="77777777" w:rsidR="00E755EC" w:rsidRDefault="00E755EC" w:rsidP="00EC4B6C">
      <w:pPr>
        <w:rPr>
          <w:rFonts w:ascii="Times New Roman" w:hAnsi="Times New Roman"/>
          <w:b/>
          <w:szCs w:val="24"/>
        </w:rPr>
      </w:pPr>
    </w:p>
    <w:p w14:paraId="3294F8F4" w14:textId="77777777" w:rsidR="00EC4B6C" w:rsidRPr="00EC4B6C" w:rsidRDefault="00EC4B6C" w:rsidP="00EC4B6C">
      <w:pPr>
        <w:rPr>
          <w:rFonts w:ascii="Times New Roman" w:hAnsi="Times New Roman"/>
          <w:b/>
          <w:szCs w:val="24"/>
        </w:rPr>
      </w:pPr>
      <w:r>
        <w:rPr>
          <w:rFonts w:ascii="Times New Roman" w:hAnsi="Times New Roman"/>
          <w:b/>
          <w:szCs w:val="24"/>
        </w:rPr>
        <w:lastRenderedPageBreak/>
        <w:t>EVALUATION:</w:t>
      </w:r>
    </w:p>
    <w:p w14:paraId="181F7119" w14:textId="77777777" w:rsidR="00EC4B6C" w:rsidRDefault="00EC4B6C" w:rsidP="00EC4B6C">
      <w:pPr>
        <w:rPr>
          <w:rFonts w:ascii="Times New Roman" w:hAnsi="Times New Roman"/>
          <w:szCs w:val="24"/>
        </w:rPr>
      </w:pPr>
      <w:r w:rsidRPr="00EC4B6C">
        <w:rPr>
          <w:rFonts w:ascii="Times New Roman" w:hAnsi="Times New Roman"/>
          <w:bCs/>
          <w:szCs w:val="24"/>
        </w:rPr>
        <w:t xml:space="preserve">Points accumulated </w:t>
      </w:r>
      <w:r>
        <w:rPr>
          <w:rFonts w:ascii="Times New Roman" w:hAnsi="Times New Roman"/>
          <w:bCs/>
          <w:szCs w:val="24"/>
        </w:rPr>
        <w:t xml:space="preserve">from tests, quizzes, homework, </w:t>
      </w:r>
      <w:r w:rsidRPr="00EC4B6C">
        <w:rPr>
          <w:rFonts w:ascii="Times New Roman" w:hAnsi="Times New Roman"/>
          <w:bCs/>
          <w:szCs w:val="24"/>
        </w:rPr>
        <w:t>writing assignment, and projects will determine a student’s grade</w:t>
      </w:r>
      <w:r w:rsidRPr="00EC4B6C">
        <w:rPr>
          <w:rFonts w:ascii="Times New Roman" w:hAnsi="Times New Roman"/>
          <w:szCs w:val="24"/>
        </w:rPr>
        <w:t xml:space="preserve">. Tests </w:t>
      </w:r>
      <w:r w:rsidR="00E755EC">
        <w:rPr>
          <w:rFonts w:ascii="Times New Roman" w:hAnsi="Times New Roman"/>
          <w:szCs w:val="24"/>
        </w:rPr>
        <w:t xml:space="preserve">and major projects </w:t>
      </w:r>
      <w:r w:rsidRPr="00EC4B6C">
        <w:rPr>
          <w:rFonts w:ascii="Times New Roman" w:hAnsi="Times New Roman"/>
          <w:szCs w:val="24"/>
        </w:rPr>
        <w:t>will be worth 60%, quizzes</w:t>
      </w:r>
      <w:r w:rsidR="00E755EC">
        <w:rPr>
          <w:rFonts w:ascii="Times New Roman" w:hAnsi="Times New Roman"/>
          <w:szCs w:val="24"/>
        </w:rPr>
        <w:t xml:space="preserve"> and small projects</w:t>
      </w:r>
      <w:r w:rsidRPr="00EC4B6C">
        <w:rPr>
          <w:rFonts w:ascii="Times New Roman" w:hAnsi="Times New Roman"/>
          <w:szCs w:val="24"/>
        </w:rPr>
        <w:t xml:space="preserve"> will be worth 30%, and homework will be worth 10%.  Projects will be placed in one of the 3 categories depending on its point value. The semester grade will be a running total.  The semester grade will be worth 85% and</w:t>
      </w:r>
      <w:r w:rsidR="00E755EC">
        <w:rPr>
          <w:rFonts w:ascii="Times New Roman" w:hAnsi="Times New Roman"/>
          <w:szCs w:val="24"/>
        </w:rPr>
        <w:t xml:space="preserve"> the final exam will be worth 20</w:t>
      </w:r>
      <w:r w:rsidRPr="00EC4B6C">
        <w:rPr>
          <w:rFonts w:ascii="Times New Roman" w:hAnsi="Times New Roman"/>
          <w:szCs w:val="24"/>
        </w:rPr>
        <w:t>%.</w:t>
      </w:r>
    </w:p>
    <w:p w14:paraId="0942985D" w14:textId="77777777" w:rsidR="00EC4B6C" w:rsidRPr="00EC4B6C" w:rsidRDefault="00EC4B6C" w:rsidP="00EC4B6C">
      <w:pPr>
        <w:rPr>
          <w:rFonts w:ascii="Times New Roman" w:hAnsi="Times New Roman"/>
          <w:szCs w:val="24"/>
        </w:rPr>
      </w:pPr>
    </w:p>
    <w:p w14:paraId="5ADBD7D0" w14:textId="77777777" w:rsidR="00EC4B6C" w:rsidRDefault="00EC4B6C" w:rsidP="00EC4B6C">
      <w:pPr>
        <w:rPr>
          <w:rFonts w:ascii="Times New Roman" w:hAnsi="Times New Roman"/>
          <w:szCs w:val="24"/>
        </w:rPr>
      </w:pPr>
      <w:r w:rsidRPr="00EC4B6C">
        <w:rPr>
          <w:rFonts w:ascii="Times New Roman" w:hAnsi="Times New Roman"/>
          <w:szCs w:val="24"/>
        </w:rPr>
        <w:t>The following grading scale will be used:</w:t>
      </w:r>
    </w:p>
    <w:p w14:paraId="3EF330F6" w14:textId="77777777" w:rsidR="00EC4B6C" w:rsidRPr="00EC4B6C" w:rsidRDefault="00EC4B6C" w:rsidP="00EC4B6C">
      <w:pPr>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920"/>
        <w:gridCol w:w="525"/>
        <w:gridCol w:w="1995"/>
      </w:tblGrid>
      <w:tr w:rsidR="00EC4B6C" w:rsidRPr="00EC4B6C" w14:paraId="5D865AAF" w14:textId="77777777" w:rsidTr="002D2232">
        <w:trPr>
          <w:jc w:val="center"/>
        </w:trPr>
        <w:tc>
          <w:tcPr>
            <w:tcW w:w="588" w:type="dxa"/>
            <w:vAlign w:val="bottom"/>
          </w:tcPr>
          <w:p w14:paraId="12AA2483" w14:textId="77777777" w:rsidR="00EC4B6C" w:rsidRPr="00EC4B6C" w:rsidRDefault="00EC4B6C" w:rsidP="002D2232">
            <w:pPr>
              <w:rPr>
                <w:color w:val="000000"/>
                <w:szCs w:val="24"/>
              </w:rPr>
            </w:pPr>
            <w:r w:rsidRPr="00EC4B6C">
              <w:rPr>
                <w:color w:val="000000"/>
                <w:szCs w:val="24"/>
              </w:rPr>
              <w:t>A+</w:t>
            </w:r>
          </w:p>
        </w:tc>
        <w:tc>
          <w:tcPr>
            <w:tcW w:w="1920" w:type="dxa"/>
            <w:vAlign w:val="bottom"/>
          </w:tcPr>
          <w:p w14:paraId="24477295" w14:textId="77777777" w:rsidR="00EC4B6C" w:rsidRPr="00EC4B6C" w:rsidRDefault="00EC4B6C" w:rsidP="002D2232">
            <w:pPr>
              <w:rPr>
                <w:color w:val="000000"/>
                <w:szCs w:val="24"/>
              </w:rPr>
            </w:pPr>
            <w:r w:rsidRPr="00EC4B6C">
              <w:rPr>
                <w:color w:val="000000"/>
                <w:szCs w:val="24"/>
              </w:rPr>
              <w:t>100-97%</w:t>
            </w:r>
          </w:p>
        </w:tc>
        <w:tc>
          <w:tcPr>
            <w:tcW w:w="525" w:type="dxa"/>
            <w:vAlign w:val="bottom"/>
          </w:tcPr>
          <w:p w14:paraId="6403926C" w14:textId="77777777" w:rsidR="00EC4B6C" w:rsidRPr="00EC4B6C" w:rsidRDefault="00EC4B6C" w:rsidP="002D2232">
            <w:pPr>
              <w:rPr>
                <w:color w:val="000000"/>
                <w:szCs w:val="24"/>
              </w:rPr>
            </w:pPr>
            <w:r w:rsidRPr="00EC4B6C">
              <w:rPr>
                <w:color w:val="000000"/>
                <w:szCs w:val="24"/>
              </w:rPr>
              <w:t>C+</w:t>
            </w:r>
          </w:p>
        </w:tc>
        <w:tc>
          <w:tcPr>
            <w:tcW w:w="1995" w:type="dxa"/>
            <w:vAlign w:val="bottom"/>
          </w:tcPr>
          <w:p w14:paraId="78152055" w14:textId="77777777" w:rsidR="00EC4B6C" w:rsidRPr="00EC4B6C" w:rsidRDefault="00EC4B6C" w:rsidP="002D2232">
            <w:pPr>
              <w:rPr>
                <w:color w:val="000000"/>
                <w:szCs w:val="24"/>
              </w:rPr>
            </w:pPr>
            <w:r w:rsidRPr="00EC4B6C">
              <w:rPr>
                <w:color w:val="000000"/>
                <w:szCs w:val="24"/>
              </w:rPr>
              <w:t>79.99-77%</w:t>
            </w:r>
          </w:p>
        </w:tc>
      </w:tr>
      <w:tr w:rsidR="00EC4B6C" w:rsidRPr="00EC4B6C" w14:paraId="323A07CF" w14:textId="77777777" w:rsidTr="002D2232">
        <w:trPr>
          <w:jc w:val="center"/>
        </w:trPr>
        <w:tc>
          <w:tcPr>
            <w:tcW w:w="588" w:type="dxa"/>
            <w:vAlign w:val="bottom"/>
          </w:tcPr>
          <w:p w14:paraId="0651C485" w14:textId="77777777" w:rsidR="00EC4B6C" w:rsidRPr="00EC4B6C" w:rsidRDefault="00EC4B6C" w:rsidP="002D2232">
            <w:pPr>
              <w:rPr>
                <w:color w:val="000000"/>
                <w:szCs w:val="24"/>
              </w:rPr>
            </w:pPr>
            <w:r w:rsidRPr="00EC4B6C">
              <w:rPr>
                <w:color w:val="000000"/>
                <w:szCs w:val="24"/>
              </w:rPr>
              <w:t>A</w:t>
            </w:r>
          </w:p>
        </w:tc>
        <w:tc>
          <w:tcPr>
            <w:tcW w:w="1920" w:type="dxa"/>
            <w:vAlign w:val="bottom"/>
          </w:tcPr>
          <w:p w14:paraId="09ECC6BC" w14:textId="77777777" w:rsidR="00EC4B6C" w:rsidRPr="00EC4B6C" w:rsidRDefault="00EC4B6C" w:rsidP="002D2232">
            <w:pPr>
              <w:rPr>
                <w:color w:val="000000"/>
                <w:szCs w:val="24"/>
              </w:rPr>
            </w:pPr>
            <w:r w:rsidRPr="00EC4B6C">
              <w:rPr>
                <w:color w:val="000000"/>
                <w:szCs w:val="24"/>
              </w:rPr>
              <w:t>96.99-93%</w:t>
            </w:r>
          </w:p>
        </w:tc>
        <w:tc>
          <w:tcPr>
            <w:tcW w:w="525" w:type="dxa"/>
            <w:vAlign w:val="bottom"/>
          </w:tcPr>
          <w:p w14:paraId="5B90D869" w14:textId="77777777" w:rsidR="00EC4B6C" w:rsidRPr="00EC4B6C" w:rsidRDefault="00EC4B6C" w:rsidP="002D2232">
            <w:pPr>
              <w:rPr>
                <w:color w:val="000000"/>
                <w:szCs w:val="24"/>
              </w:rPr>
            </w:pPr>
            <w:r w:rsidRPr="00EC4B6C">
              <w:rPr>
                <w:color w:val="000000"/>
                <w:szCs w:val="24"/>
              </w:rPr>
              <w:t>C</w:t>
            </w:r>
          </w:p>
        </w:tc>
        <w:tc>
          <w:tcPr>
            <w:tcW w:w="1995" w:type="dxa"/>
            <w:vAlign w:val="bottom"/>
          </w:tcPr>
          <w:p w14:paraId="5ECB243C" w14:textId="77777777" w:rsidR="00EC4B6C" w:rsidRPr="00EC4B6C" w:rsidRDefault="00EC4B6C" w:rsidP="002D2232">
            <w:pPr>
              <w:rPr>
                <w:color w:val="000000"/>
                <w:szCs w:val="24"/>
              </w:rPr>
            </w:pPr>
            <w:r w:rsidRPr="00EC4B6C">
              <w:rPr>
                <w:color w:val="000000"/>
                <w:szCs w:val="24"/>
              </w:rPr>
              <w:t>76.99-73%</w:t>
            </w:r>
          </w:p>
        </w:tc>
      </w:tr>
      <w:tr w:rsidR="00EC4B6C" w:rsidRPr="00EC4B6C" w14:paraId="364C5D7E" w14:textId="77777777" w:rsidTr="002D2232">
        <w:trPr>
          <w:jc w:val="center"/>
        </w:trPr>
        <w:tc>
          <w:tcPr>
            <w:tcW w:w="588" w:type="dxa"/>
            <w:vAlign w:val="bottom"/>
          </w:tcPr>
          <w:p w14:paraId="774A6D42" w14:textId="77777777" w:rsidR="00EC4B6C" w:rsidRPr="00EC4B6C" w:rsidRDefault="00EC4B6C" w:rsidP="002D2232">
            <w:pPr>
              <w:rPr>
                <w:color w:val="000000"/>
                <w:szCs w:val="24"/>
              </w:rPr>
            </w:pPr>
            <w:r w:rsidRPr="00EC4B6C">
              <w:rPr>
                <w:color w:val="000000"/>
                <w:szCs w:val="24"/>
              </w:rPr>
              <w:t>A-</w:t>
            </w:r>
          </w:p>
        </w:tc>
        <w:tc>
          <w:tcPr>
            <w:tcW w:w="1920" w:type="dxa"/>
            <w:vAlign w:val="bottom"/>
          </w:tcPr>
          <w:p w14:paraId="7D4E6DBD" w14:textId="77777777" w:rsidR="00EC4B6C" w:rsidRPr="00EC4B6C" w:rsidRDefault="00EC4B6C" w:rsidP="002D2232">
            <w:pPr>
              <w:rPr>
                <w:color w:val="000000"/>
                <w:szCs w:val="24"/>
              </w:rPr>
            </w:pPr>
            <w:r w:rsidRPr="00EC4B6C">
              <w:rPr>
                <w:color w:val="000000"/>
                <w:szCs w:val="24"/>
              </w:rPr>
              <w:t>92.99-90%</w:t>
            </w:r>
          </w:p>
        </w:tc>
        <w:tc>
          <w:tcPr>
            <w:tcW w:w="525" w:type="dxa"/>
            <w:vAlign w:val="bottom"/>
          </w:tcPr>
          <w:p w14:paraId="44D4FA19" w14:textId="77777777" w:rsidR="00EC4B6C" w:rsidRPr="00EC4B6C" w:rsidRDefault="00EC4B6C" w:rsidP="002D2232">
            <w:pPr>
              <w:rPr>
                <w:color w:val="000000"/>
                <w:szCs w:val="24"/>
              </w:rPr>
            </w:pPr>
            <w:r w:rsidRPr="00EC4B6C">
              <w:rPr>
                <w:color w:val="000000"/>
                <w:szCs w:val="24"/>
              </w:rPr>
              <w:t>C-</w:t>
            </w:r>
          </w:p>
        </w:tc>
        <w:tc>
          <w:tcPr>
            <w:tcW w:w="1995" w:type="dxa"/>
            <w:vAlign w:val="bottom"/>
          </w:tcPr>
          <w:p w14:paraId="398B7676" w14:textId="77777777" w:rsidR="00EC4B6C" w:rsidRPr="00EC4B6C" w:rsidRDefault="00EC4B6C" w:rsidP="002D2232">
            <w:pPr>
              <w:rPr>
                <w:color w:val="000000"/>
                <w:szCs w:val="24"/>
              </w:rPr>
            </w:pPr>
            <w:r w:rsidRPr="00EC4B6C">
              <w:rPr>
                <w:color w:val="000000"/>
                <w:szCs w:val="24"/>
              </w:rPr>
              <w:t>72.99-70%</w:t>
            </w:r>
          </w:p>
        </w:tc>
      </w:tr>
      <w:tr w:rsidR="00EC4B6C" w:rsidRPr="00EC4B6C" w14:paraId="3867D114" w14:textId="77777777" w:rsidTr="002D2232">
        <w:trPr>
          <w:jc w:val="center"/>
        </w:trPr>
        <w:tc>
          <w:tcPr>
            <w:tcW w:w="588" w:type="dxa"/>
            <w:vAlign w:val="bottom"/>
          </w:tcPr>
          <w:p w14:paraId="2AAB6F56" w14:textId="77777777" w:rsidR="00EC4B6C" w:rsidRPr="00EC4B6C" w:rsidRDefault="00EC4B6C" w:rsidP="002D2232">
            <w:pPr>
              <w:rPr>
                <w:color w:val="000000"/>
                <w:szCs w:val="24"/>
              </w:rPr>
            </w:pPr>
            <w:r w:rsidRPr="00EC4B6C">
              <w:rPr>
                <w:color w:val="000000"/>
                <w:szCs w:val="24"/>
              </w:rPr>
              <w:t>B+</w:t>
            </w:r>
          </w:p>
        </w:tc>
        <w:tc>
          <w:tcPr>
            <w:tcW w:w="1920" w:type="dxa"/>
            <w:vAlign w:val="bottom"/>
          </w:tcPr>
          <w:p w14:paraId="0DDAF170" w14:textId="77777777" w:rsidR="00EC4B6C" w:rsidRPr="00EC4B6C" w:rsidRDefault="00EC4B6C" w:rsidP="002D2232">
            <w:pPr>
              <w:rPr>
                <w:color w:val="000000"/>
                <w:szCs w:val="24"/>
              </w:rPr>
            </w:pPr>
            <w:r w:rsidRPr="00EC4B6C">
              <w:rPr>
                <w:color w:val="000000"/>
                <w:szCs w:val="24"/>
              </w:rPr>
              <w:t>89.99-87%</w:t>
            </w:r>
          </w:p>
        </w:tc>
        <w:tc>
          <w:tcPr>
            <w:tcW w:w="525" w:type="dxa"/>
            <w:vAlign w:val="bottom"/>
          </w:tcPr>
          <w:p w14:paraId="236D1C32" w14:textId="77777777" w:rsidR="00EC4B6C" w:rsidRPr="00EC4B6C" w:rsidRDefault="00EC4B6C" w:rsidP="002D2232">
            <w:pPr>
              <w:rPr>
                <w:color w:val="000000"/>
                <w:szCs w:val="24"/>
              </w:rPr>
            </w:pPr>
            <w:r w:rsidRPr="00EC4B6C">
              <w:rPr>
                <w:color w:val="000000"/>
                <w:szCs w:val="24"/>
              </w:rPr>
              <w:t>D+</w:t>
            </w:r>
          </w:p>
        </w:tc>
        <w:tc>
          <w:tcPr>
            <w:tcW w:w="1995" w:type="dxa"/>
            <w:vAlign w:val="bottom"/>
          </w:tcPr>
          <w:p w14:paraId="2BDF8115" w14:textId="77777777" w:rsidR="00EC4B6C" w:rsidRPr="00EC4B6C" w:rsidRDefault="00EC4B6C" w:rsidP="002D2232">
            <w:pPr>
              <w:rPr>
                <w:color w:val="000000"/>
                <w:szCs w:val="24"/>
              </w:rPr>
            </w:pPr>
            <w:r w:rsidRPr="00EC4B6C">
              <w:rPr>
                <w:color w:val="000000"/>
                <w:szCs w:val="24"/>
              </w:rPr>
              <w:t>69.99- 67%</w:t>
            </w:r>
          </w:p>
        </w:tc>
      </w:tr>
      <w:tr w:rsidR="00EC4B6C" w:rsidRPr="00EC4B6C" w14:paraId="33B5EEC4" w14:textId="77777777" w:rsidTr="002D2232">
        <w:trPr>
          <w:jc w:val="center"/>
        </w:trPr>
        <w:tc>
          <w:tcPr>
            <w:tcW w:w="588" w:type="dxa"/>
            <w:vAlign w:val="bottom"/>
          </w:tcPr>
          <w:p w14:paraId="01CCCCED" w14:textId="77777777" w:rsidR="00EC4B6C" w:rsidRPr="00EC4B6C" w:rsidRDefault="00EC4B6C" w:rsidP="002D2232">
            <w:pPr>
              <w:rPr>
                <w:color w:val="000000"/>
                <w:szCs w:val="24"/>
              </w:rPr>
            </w:pPr>
            <w:r w:rsidRPr="00EC4B6C">
              <w:rPr>
                <w:color w:val="000000"/>
                <w:szCs w:val="24"/>
              </w:rPr>
              <w:t>B</w:t>
            </w:r>
          </w:p>
        </w:tc>
        <w:tc>
          <w:tcPr>
            <w:tcW w:w="1920" w:type="dxa"/>
            <w:vAlign w:val="bottom"/>
          </w:tcPr>
          <w:p w14:paraId="28DE5FB7" w14:textId="77777777" w:rsidR="00EC4B6C" w:rsidRPr="00EC4B6C" w:rsidRDefault="00EC4B6C" w:rsidP="002D2232">
            <w:pPr>
              <w:rPr>
                <w:color w:val="000000"/>
                <w:szCs w:val="24"/>
              </w:rPr>
            </w:pPr>
            <w:r w:rsidRPr="00EC4B6C">
              <w:rPr>
                <w:color w:val="000000"/>
                <w:szCs w:val="24"/>
              </w:rPr>
              <w:t>86.99-83%</w:t>
            </w:r>
          </w:p>
        </w:tc>
        <w:tc>
          <w:tcPr>
            <w:tcW w:w="525" w:type="dxa"/>
            <w:vAlign w:val="bottom"/>
          </w:tcPr>
          <w:p w14:paraId="760AAB1F" w14:textId="77777777" w:rsidR="00EC4B6C" w:rsidRPr="00EC4B6C" w:rsidRDefault="00EC4B6C" w:rsidP="002D2232">
            <w:pPr>
              <w:rPr>
                <w:color w:val="000000"/>
                <w:szCs w:val="24"/>
              </w:rPr>
            </w:pPr>
            <w:r w:rsidRPr="00EC4B6C">
              <w:rPr>
                <w:color w:val="000000"/>
                <w:szCs w:val="24"/>
              </w:rPr>
              <w:t>D</w:t>
            </w:r>
          </w:p>
        </w:tc>
        <w:tc>
          <w:tcPr>
            <w:tcW w:w="1995" w:type="dxa"/>
            <w:vAlign w:val="bottom"/>
          </w:tcPr>
          <w:p w14:paraId="1253CB96" w14:textId="77777777" w:rsidR="00EC4B6C" w:rsidRPr="00EC4B6C" w:rsidRDefault="00EC4B6C" w:rsidP="002D2232">
            <w:pPr>
              <w:rPr>
                <w:color w:val="000000"/>
                <w:szCs w:val="24"/>
              </w:rPr>
            </w:pPr>
            <w:r w:rsidRPr="00EC4B6C">
              <w:rPr>
                <w:color w:val="000000"/>
                <w:szCs w:val="24"/>
              </w:rPr>
              <w:t>66.99-63%</w:t>
            </w:r>
          </w:p>
        </w:tc>
      </w:tr>
      <w:tr w:rsidR="00EC4B6C" w:rsidRPr="00EC4B6C" w14:paraId="28F4BC5B" w14:textId="77777777" w:rsidTr="002D2232">
        <w:trPr>
          <w:jc w:val="center"/>
        </w:trPr>
        <w:tc>
          <w:tcPr>
            <w:tcW w:w="588" w:type="dxa"/>
            <w:vAlign w:val="bottom"/>
          </w:tcPr>
          <w:p w14:paraId="6595B4A9" w14:textId="77777777" w:rsidR="00EC4B6C" w:rsidRPr="00EC4B6C" w:rsidRDefault="00EC4B6C" w:rsidP="002D2232">
            <w:pPr>
              <w:rPr>
                <w:color w:val="000000"/>
                <w:szCs w:val="24"/>
              </w:rPr>
            </w:pPr>
            <w:r w:rsidRPr="00EC4B6C">
              <w:rPr>
                <w:color w:val="000000"/>
                <w:szCs w:val="24"/>
              </w:rPr>
              <w:t>B-</w:t>
            </w:r>
          </w:p>
        </w:tc>
        <w:tc>
          <w:tcPr>
            <w:tcW w:w="1920" w:type="dxa"/>
            <w:vAlign w:val="bottom"/>
          </w:tcPr>
          <w:p w14:paraId="3B40A0F8" w14:textId="77777777" w:rsidR="00EC4B6C" w:rsidRPr="00EC4B6C" w:rsidRDefault="00EC4B6C" w:rsidP="002D2232">
            <w:pPr>
              <w:rPr>
                <w:color w:val="000000"/>
                <w:szCs w:val="24"/>
              </w:rPr>
            </w:pPr>
            <w:r w:rsidRPr="00EC4B6C">
              <w:rPr>
                <w:color w:val="000000"/>
                <w:szCs w:val="24"/>
              </w:rPr>
              <w:t>82.99-80%</w:t>
            </w:r>
          </w:p>
        </w:tc>
        <w:tc>
          <w:tcPr>
            <w:tcW w:w="525" w:type="dxa"/>
            <w:vAlign w:val="bottom"/>
          </w:tcPr>
          <w:p w14:paraId="396C2150" w14:textId="77777777" w:rsidR="00EC4B6C" w:rsidRPr="00EC4B6C" w:rsidRDefault="00EC4B6C" w:rsidP="002D2232">
            <w:pPr>
              <w:rPr>
                <w:color w:val="000000"/>
                <w:szCs w:val="24"/>
              </w:rPr>
            </w:pPr>
            <w:r w:rsidRPr="00EC4B6C">
              <w:rPr>
                <w:color w:val="000000"/>
                <w:szCs w:val="24"/>
              </w:rPr>
              <w:t>D-</w:t>
            </w:r>
          </w:p>
        </w:tc>
        <w:tc>
          <w:tcPr>
            <w:tcW w:w="1995" w:type="dxa"/>
            <w:vAlign w:val="bottom"/>
          </w:tcPr>
          <w:p w14:paraId="0446BE07" w14:textId="77777777" w:rsidR="00EC4B6C" w:rsidRPr="00EC4B6C" w:rsidRDefault="00EC4B6C" w:rsidP="002D2232">
            <w:pPr>
              <w:rPr>
                <w:color w:val="000000"/>
                <w:szCs w:val="24"/>
              </w:rPr>
            </w:pPr>
            <w:r w:rsidRPr="00EC4B6C">
              <w:rPr>
                <w:color w:val="000000"/>
                <w:szCs w:val="24"/>
              </w:rPr>
              <w:t>62.99-60%</w:t>
            </w:r>
          </w:p>
        </w:tc>
      </w:tr>
      <w:tr w:rsidR="00EC4B6C" w:rsidRPr="00EC4B6C" w14:paraId="6A441C92" w14:textId="77777777" w:rsidTr="002D2232">
        <w:trPr>
          <w:jc w:val="center"/>
        </w:trPr>
        <w:tc>
          <w:tcPr>
            <w:tcW w:w="588" w:type="dxa"/>
          </w:tcPr>
          <w:p w14:paraId="4FEAB02C" w14:textId="77777777" w:rsidR="00EC4B6C" w:rsidRPr="00EC4B6C" w:rsidRDefault="00EC4B6C" w:rsidP="002D2232">
            <w:pPr>
              <w:rPr>
                <w:szCs w:val="24"/>
              </w:rPr>
            </w:pPr>
          </w:p>
        </w:tc>
        <w:tc>
          <w:tcPr>
            <w:tcW w:w="1920" w:type="dxa"/>
          </w:tcPr>
          <w:p w14:paraId="79755BE7" w14:textId="77777777" w:rsidR="00EC4B6C" w:rsidRPr="00EC4B6C" w:rsidRDefault="00EC4B6C" w:rsidP="002D2232">
            <w:pPr>
              <w:rPr>
                <w:szCs w:val="24"/>
              </w:rPr>
            </w:pPr>
          </w:p>
        </w:tc>
        <w:tc>
          <w:tcPr>
            <w:tcW w:w="525" w:type="dxa"/>
            <w:vAlign w:val="bottom"/>
          </w:tcPr>
          <w:p w14:paraId="2653978B" w14:textId="77777777" w:rsidR="00EC4B6C" w:rsidRPr="00EC4B6C" w:rsidRDefault="00EC4B6C" w:rsidP="002D2232">
            <w:pPr>
              <w:rPr>
                <w:color w:val="000000"/>
                <w:szCs w:val="24"/>
              </w:rPr>
            </w:pPr>
            <w:r w:rsidRPr="00EC4B6C">
              <w:rPr>
                <w:color w:val="000000"/>
                <w:szCs w:val="24"/>
              </w:rPr>
              <w:t>F</w:t>
            </w:r>
          </w:p>
        </w:tc>
        <w:tc>
          <w:tcPr>
            <w:tcW w:w="1995" w:type="dxa"/>
            <w:vAlign w:val="bottom"/>
          </w:tcPr>
          <w:p w14:paraId="6FE97540" w14:textId="77777777" w:rsidR="00EC4B6C" w:rsidRPr="00EC4B6C" w:rsidRDefault="00EC4B6C" w:rsidP="002D2232">
            <w:pPr>
              <w:rPr>
                <w:color w:val="000000"/>
                <w:szCs w:val="24"/>
              </w:rPr>
            </w:pPr>
            <w:r w:rsidRPr="00EC4B6C">
              <w:rPr>
                <w:color w:val="000000"/>
                <w:szCs w:val="24"/>
              </w:rPr>
              <w:t>59.99- below</w:t>
            </w:r>
          </w:p>
        </w:tc>
      </w:tr>
    </w:tbl>
    <w:p w14:paraId="520904D9" w14:textId="77777777" w:rsidR="00EC4B6C" w:rsidRPr="00EC4B6C" w:rsidRDefault="00EC4B6C" w:rsidP="00EC4B6C">
      <w:pPr>
        <w:rPr>
          <w:rFonts w:ascii="Times New Roman" w:hAnsi="Times New Roman"/>
          <w:szCs w:val="24"/>
        </w:rPr>
      </w:pPr>
    </w:p>
    <w:p w14:paraId="3F0BE3AE" w14:textId="77777777" w:rsidR="00954AF3" w:rsidRPr="00EC4B6C" w:rsidRDefault="00954AF3" w:rsidP="00954AF3">
      <w:pPr>
        <w:rPr>
          <w:szCs w:val="24"/>
        </w:rPr>
      </w:pPr>
    </w:p>
    <w:p w14:paraId="462A64CD" w14:textId="77777777" w:rsidR="008134E4" w:rsidRDefault="008134E4" w:rsidP="00954AF3">
      <w:pPr>
        <w:ind w:left="720" w:hanging="720"/>
      </w:pPr>
    </w:p>
    <w:sectPr w:rsidR="008134E4" w:rsidSect="00464DBD">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69072" w14:textId="77777777" w:rsidR="00CF6ACD" w:rsidRDefault="00CF6ACD" w:rsidP="00954AF3">
      <w:r>
        <w:separator/>
      </w:r>
    </w:p>
  </w:endnote>
  <w:endnote w:type="continuationSeparator" w:id="0">
    <w:p w14:paraId="3EB90261" w14:textId="77777777" w:rsidR="00CF6ACD" w:rsidRDefault="00CF6ACD" w:rsidP="0095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ms Rmn">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50102" w14:textId="77777777" w:rsidR="007461B2" w:rsidRDefault="00ED32E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D9454A8" w14:textId="77777777" w:rsidR="007461B2" w:rsidRDefault="00CF6ACD">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1F72A" w14:textId="77777777" w:rsidR="007461B2" w:rsidRDefault="00954AF3">
    <w:pPr>
      <w:pStyle w:val="Footer"/>
      <w:rPr>
        <w:snapToGrid w:val="0"/>
        <w:sz w:val="20"/>
      </w:rPr>
    </w:pPr>
    <w:r>
      <w:rPr>
        <w:sz w:val="20"/>
      </w:rPr>
      <w:t>Floyd Central High School/</w:t>
    </w:r>
    <w:r w:rsidR="00ED32E6">
      <w:rPr>
        <w:sz w:val="20"/>
      </w:rPr>
      <w:t>Ivy Tech Community</w:t>
    </w:r>
    <w:r>
      <w:rPr>
        <w:sz w:val="20"/>
      </w:rPr>
      <w:t xml:space="preserve"> College</w:t>
    </w:r>
    <w:r w:rsidR="00ED32E6">
      <w:rPr>
        <w:rStyle w:val="PageNumber"/>
      </w:rPr>
      <w:fldChar w:fldCharType="begin"/>
    </w:r>
    <w:r w:rsidR="00ED32E6">
      <w:rPr>
        <w:rStyle w:val="PageNumber"/>
      </w:rPr>
      <w:instrText xml:space="preserve"> PAGE </w:instrText>
    </w:r>
    <w:r w:rsidR="00ED32E6">
      <w:rPr>
        <w:rStyle w:val="PageNumber"/>
      </w:rPr>
      <w:fldChar w:fldCharType="separate"/>
    </w:r>
    <w:r w:rsidR="00F918F9">
      <w:rPr>
        <w:rStyle w:val="PageNumber"/>
        <w:noProof/>
      </w:rPr>
      <w:t>1</w:t>
    </w:r>
    <w:r w:rsidR="00ED32E6">
      <w:rPr>
        <w:rStyle w:val="PageNumber"/>
      </w:rPr>
      <w:fldChar w:fldCharType="end"/>
    </w:r>
    <w:r w:rsidR="00ED32E6">
      <w:rPr>
        <w:snapToGrid w:val="0"/>
        <w:sz w:val="20"/>
      </w:rPr>
      <w:tab/>
      <w:t>MATH 135</w:t>
    </w:r>
  </w:p>
  <w:p w14:paraId="2CC3F694" w14:textId="77777777" w:rsidR="00954AF3" w:rsidRPr="00954AF3" w:rsidRDefault="00954AF3" w:rsidP="00954AF3">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F918F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6E285" w14:textId="77777777" w:rsidR="00CF6ACD" w:rsidRDefault="00CF6ACD" w:rsidP="00954AF3">
      <w:r>
        <w:separator/>
      </w:r>
    </w:p>
  </w:footnote>
  <w:footnote w:type="continuationSeparator" w:id="0">
    <w:p w14:paraId="7F23F578" w14:textId="77777777" w:rsidR="00CF6ACD" w:rsidRDefault="00CF6ACD" w:rsidP="00954A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AC4B0" w14:textId="77777777" w:rsidR="00954AF3" w:rsidRPr="00954AF3" w:rsidRDefault="00954AF3" w:rsidP="00954AF3">
    <w:pPr>
      <w:pStyle w:val="Subtitle"/>
      <w:rPr>
        <w:sz w:val="28"/>
      </w:rPr>
    </w:pPr>
    <w:r w:rsidRPr="00954AF3">
      <w:rPr>
        <w:sz w:val="28"/>
      </w:rPr>
      <w:t>MATH 135, FINITE MATH/ADVANCED MATH COLLEGE CREDIT</w:t>
    </w:r>
  </w:p>
  <w:p w14:paraId="5C7870EC" w14:textId="77777777" w:rsidR="00954AF3" w:rsidRDefault="00954AF3" w:rsidP="00954AF3">
    <w:pPr>
      <w:pStyle w:val="Subtitle"/>
    </w:pPr>
    <w:r>
      <w:t>SYLLABUS</w:t>
    </w:r>
  </w:p>
  <w:p w14:paraId="1390F789" w14:textId="77777777" w:rsidR="00954AF3" w:rsidRDefault="00954A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02AE4"/>
    <w:multiLevelType w:val="hybridMultilevel"/>
    <w:tmpl w:val="1DDE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639DD"/>
    <w:multiLevelType w:val="hybridMultilevel"/>
    <w:tmpl w:val="E2E4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87095"/>
    <w:multiLevelType w:val="hybridMultilevel"/>
    <w:tmpl w:val="1F1CF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36D9D"/>
    <w:multiLevelType w:val="hybridMultilevel"/>
    <w:tmpl w:val="F304A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A30103"/>
    <w:multiLevelType w:val="hybridMultilevel"/>
    <w:tmpl w:val="36DC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6E456D"/>
    <w:multiLevelType w:val="hybridMultilevel"/>
    <w:tmpl w:val="29B09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EF4B2F"/>
    <w:multiLevelType w:val="hybridMultilevel"/>
    <w:tmpl w:val="ECA079E8"/>
    <w:lvl w:ilvl="0" w:tplc="7486DB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4F05E6"/>
    <w:multiLevelType w:val="hybridMultilevel"/>
    <w:tmpl w:val="CBE80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4B30A9"/>
    <w:multiLevelType w:val="hybridMultilevel"/>
    <w:tmpl w:val="18D85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B863A4"/>
    <w:multiLevelType w:val="hybridMultilevel"/>
    <w:tmpl w:val="4AC2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60E2"/>
    <w:multiLevelType w:val="hybridMultilevel"/>
    <w:tmpl w:val="F2D8E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2"/>
  </w:num>
  <w:num w:numId="5">
    <w:abstractNumId w:val="10"/>
  </w:num>
  <w:num w:numId="6">
    <w:abstractNumId w:val="3"/>
  </w:num>
  <w:num w:numId="7">
    <w:abstractNumId w:val="0"/>
  </w:num>
  <w:num w:numId="8">
    <w:abstractNumId w:val="5"/>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F3"/>
    <w:rsid w:val="008134E4"/>
    <w:rsid w:val="00954AF3"/>
    <w:rsid w:val="00A720A0"/>
    <w:rsid w:val="00CF6ACD"/>
    <w:rsid w:val="00E755EC"/>
    <w:rsid w:val="00EC4B6C"/>
    <w:rsid w:val="00ED32E6"/>
    <w:rsid w:val="00F9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794AE"/>
  <w15:docId w15:val="{75CFDEEB-9D22-4189-A62D-A7ED5AC2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4AF3"/>
    <w:pPr>
      <w:spacing w:after="0" w:line="240" w:lineRule="auto"/>
    </w:pPr>
    <w:rPr>
      <w:rFonts w:ascii="CG Times (WN)" w:eastAsia="Times New Roman" w:hAnsi="CG Times (W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4AF3"/>
    <w:pPr>
      <w:tabs>
        <w:tab w:val="center" w:pos="4320"/>
        <w:tab w:val="right" w:pos="8640"/>
      </w:tabs>
    </w:pPr>
  </w:style>
  <w:style w:type="character" w:customStyle="1" w:styleId="FooterChar">
    <w:name w:val="Footer Char"/>
    <w:basedOn w:val="DefaultParagraphFont"/>
    <w:link w:val="Footer"/>
    <w:rsid w:val="00954AF3"/>
    <w:rPr>
      <w:rFonts w:ascii="CG Times (WN)" w:eastAsia="Times New Roman" w:hAnsi="CG Times (WN)" w:cs="Times New Roman"/>
      <w:sz w:val="24"/>
      <w:szCs w:val="20"/>
    </w:rPr>
  </w:style>
  <w:style w:type="paragraph" w:styleId="BodyText2">
    <w:name w:val="Body Text 2"/>
    <w:basedOn w:val="Normal"/>
    <w:link w:val="BodyText2Char"/>
    <w:rsid w:val="00954AF3"/>
    <w:rPr>
      <w:rFonts w:ascii="Times New Roman" w:hAnsi="Times New Roman"/>
    </w:rPr>
  </w:style>
  <w:style w:type="character" w:customStyle="1" w:styleId="BodyText2Char">
    <w:name w:val="Body Text 2 Char"/>
    <w:basedOn w:val="DefaultParagraphFont"/>
    <w:link w:val="BodyText2"/>
    <w:rsid w:val="00954AF3"/>
    <w:rPr>
      <w:rFonts w:ascii="Times New Roman" w:eastAsia="Times New Roman" w:hAnsi="Times New Roman" w:cs="Times New Roman"/>
      <w:sz w:val="24"/>
      <w:szCs w:val="20"/>
    </w:rPr>
  </w:style>
  <w:style w:type="character" w:styleId="PageNumber">
    <w:name w:val="page number"/>
    <w:basedOn w:val="DefaultParagraphFont"/>
    <w:rsid w:val="00954AF3"/>
  </w:style>
  <w:style w:type="paragraph" w:styleId="Title">
    <w:name w:val="Title"/>
    <w:basedOn w:val="Normal"/>
    <w:link w:val="TitleChar"/>
    <w:qFormat/>
    <w:rsid w:val="00954AF3"/>
    <w:pPr>
      <w:ind w:left="720" w:hanging="720"/>
      <w:jc w:val="center"/>
    </w:pPr>
    <w:rPr>
      <w:b/>
      <w:sz w:val="28"/>
    </w:rPr>
  </w:style>
  <w:style w:type="character" w:customStyle="1" w:styleId="TitleChar">
    <w:name w:val="Title Char"/>
    <w:basedOn w:val="DefaultParagraphFont"/>
    <w:link w:val="Title"/>
    <w:rsid w:val="00954AF3"/>
    <w:rPr>
      <w:rFonts w:ascii="CG Times (WN)" w:eastAsia="Times New Roman" w:hAnsi="CG Times (WN)" w:cs="Times New Roman"/>
      <w:b/>
      <w:sz w:val="28"/>
      <w:szCs w:val="20"/>
    </w:rPr>
  </w:style>
  <w:style w:type="paragraph" w:styleId="Subtitle">
    <w:name w:val="Subtitle"/>
    <w:basedOn w:val="Normal"/>
    <w:link w:val="SubtitleChar"/>
    <w:qFormat/>
    <w:rsid w:val="00954AF3"/>
    <w:pPr>
      <w:ind w:left="720" w:hanging="720"/>
      <w:jc w:val="center"/>
    </w:pPr>
    <w:rPr>
      <w:b/>
      <w:sz w:val="20"/>
    </w:rPr>
  </w:style>
  <w:style w:type="character" w:customStyle="1" w:styleId="SubtitleChar">
    <w:name w:val="Subtitle Char"/>
    <w:basedOn w:val="DefaultParagraphFont"/>
    <w:link w:val="Subtitle"/>
    <w:rsid w:val="00954AF3"/>
    <w:rPr>
      <w:rFonts w:ascii="CG Times (WN)" w:eastAsia="Times New Roman" w:hAnsi="CG Times (WN)" w:cs="Times New Roman"/>
      <w:b/>
      <w:sz w:val="20"/>
      <w:szCs w:val="20"/>
    </w:rPr>
  </w:style>
  <w:style w:type="character" w:styleId="Hyperlink">
    <w:name w:val="Hyperlink"/>
    <w:rsid w:val="00954AF3"/>
    <w:rPr>
      <w:color w:val="0000FF"/>
      <w:u w:val="single"/>
    </w:rPr>
  </w:style>
  <w:style w:type="paragraph" w:styleId="Header">
    <w:name w:val="header"/>
    <w:basedOn w:val="Normal"/>
    <w:link w:val="HeaderChar"/>
    <w:uiPriority w:val="99"/>
    <w:unhideWhenUsed/>
    <w:rsid w:val="00954AF3"/>
    <w:pPr>
      <w:tabs>
        <w:tab w:val="center" w:pos="4680"/>
        <w:tab w:val="right" w:pos="9360"/>
      </w:tabs>
    </w:pPr>
  </w:style>
  <w:style w:type="character" w:customStyle="1" w:styleId="HeaderChar">
    <w:name w:val="Header Char"/>
    <w:basedOn w:val="DefaultParagraphFont"/>
    <w:link w:val="Header"/>
    <w:uiPriority w:val="99"/>
    <w:rsid w:val="00954AF3"/>
    <w:rPr>
      <w:rFonts w:ascii="CG Times (WN)" w:eastAsia="Times New Roman" w:hAnsi="CG Times (WN)" w:cs="Times New Roman"/>
      <w:sz w:val="24"/>
      <w:szCs w:val="20"/>
    </w:rPr>
  </w:style>
  <w:style w:type="paragraph" w:styleId="ListParagraph">
    <w:name w:val="List Paragraph"/>
    <w:basedOn w:val="Normal"/>
    <w:uiPriority w:val="34"/>
    <w:qFormat/>
    <w:rsid w:val="00954AF3"/>
    <w:pPr>
      <w:ind w:left="720"/>
      <w:contextualSpacing/>
    </w:pPr>
  </w:style>
  <w:style w:type="table" w:styleId="TableGrid">
    <w:name w:val="Table Grid"/>
    <w:basedOn w:val="TableNormal"/>
    <w:uiPriority w:val="59"/>
    <w:rsid w:val="00954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0A0"/>
    <w:rPr>
      <w:rFonts w:ascii="Segoe UI" w:eastAsia="Times New Roman" w:hAnsi="Segoe UI" w:cs="Segoe UI"/>
      <w:sz w:val="18"/>
      <w:szCs w:val="18"/>
    </w:rPr>
  </w:style>
  <w:style w:type="paragraph" w:customStyle="1" w:styleId="defaulttext">
    <w:name w:val="defaulttext"/>
    <w:basedOn w:val="Normal"/>
    <w:rsid w:val="00EC4B6C"/>
    <w:rPr>
      <w:rFonts w:ascii="Tms Rmn" w:hAnsi="Tms Rm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cambron@nafcs.k12.in.us" TargetMode="External"/><Relationship Id="rId8" Type="http://schemas.openxmlformats.org/officeDocument/2006/relationships/hyperlink" Target="http://www.aw.com/lgr"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805</Words>
  <Characters>4589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IVYTCC</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Wayne</dc:creator>
  <cp:keywords/>
  <dc:description/>
  <cp:lastModifiedBy>Rebecca Cambron</cp:lastModifiedBy>
  <cp:revision>2</cp:revision>
  <cp:lastPrinted>2013-12-11T14:33:00Z</cp:lastPrinted>
  <dcterms:created xsi:type="dcterms:W3CDTF">2019-01-02T14:28:00Z</dcterms:created>
  <dcterms:modified xsi:type="dcterms:W3CDTF">2019-01-02T14:28:00Z</dcterms:modified>
</cp:coreProperties>
</file>